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tabs>
          <w:tab w:val="clear" w:pos="720"/>
          <w:tab w:val="left" w:pos="4253" w:leader="none"/>
        </w:tabs>
        <w:rPr>
          <w:rFonts w:ascii="Times New Roman" w:hAnsi="Times New Roman"/>
          <w:b/>
          <w:b/>
          <w:sz w:val="24"/>
        </w:rPr>
      </w:pPr>
      <w:r>
        <w:rPr>
          <w:rFonts w:ascii="Times New Roman" w:hAnsi="Times New Roman"/>
          <w:sz w:val="24"/>
        </w:rPr>
        <w:tab/>
        <w:tab/>
        <w:tab/>
      </w:r>
      <w:r>
        <w:rPr>
          <w:rFonts w:ascii="Times New Roman" w:hAnsi="Times New Roman"/>
          <w:b/>
          <w:sz w:val="24"/>
        </w:rPr>
        <w:t>ПРИНЯТО</w:t>
      </w:r>
    </w:p>
    <w:p>
      <w:pPr>
        <w:pStyle w:val="12"/>
        <w:tabs>
          <w:tab w:val="clear" w:pos="720"/>
          <w:tab w:val="left" w:pos="4253" w:leader="none"/>
        </w:tabs>
        <w:rPr>
          <w:rFonts w:ascii="Times New Roman" w:hAnsi="Times New Roman"/>
          <w:b/>
          <w:b/>
          <w:sz w:val="24"/>
        </w:rPr>
      </w:pPr>
      <w:r>
        <w:rPr>
          <w:rFonts w:ascii="Times New Roman" w:hAnsi="Times New Roman"/>
          <w:b/>
          <w:sz w:val="24"/>
        </w:rPr>
        <w:tab/>
        <w:tab/>
        <w:tab/>
        <w:t>Учредительным собранием</w:t>
      </w:r>
    </w:p>
    <w:p>
      <w:pPr>
        <w:pStyle w:val="12"/>
        <w:tabs>
          <w:tab w:val="clear" w:pos="720"/>
          <w:tab w:val="left" w:pos="4253" w:leader="none"/>
        </w:tabs>
        <w:rPr>
          <w:rFonts w:ascii="Times New Roman" w:hAnsi="Times New Roman"/>
          <w:b/>
          <w:b/>
          <w:sz w:val="24"/>
        </w:rPr>
      </w:pPr>
      <w:r>
        <w:rPr>
          <w:rFonts w:ascii="Times New Roman" w:hAnsi="Times New Roman"/>
          <w:b/>
          <w:sz w:val="24"/>
        </w:rPr>
        <w:tab/>
        <w:tab/>
        <w:tab/>
        <w:t>Профсоюза 30.11.2008</w:t>
      </w:r>
    </w:p>
    <w:p>
      <w:pPr>
        <w:pStyle w:val="12"/>
        <w:ind w:left="4320" w:firstLine="720"/>
        <w:rPr>
          <w:rFonts w:ascii="Times New Roman" w:hAnsi="Times New Roman"/>
          <w:b/>
          <w:b/>
          <w:sz w:val="24"/>
        </w:rPr>
      </w:pPr>
      <w:r>
        <w:rPr>
          <w:rFonts w:ascii="Times New Roman" w:hAnsi="Times New Roman"/>
          <w:b/>
          <w:sz w:val="24"/>
        </w:rPr>
        <w:t xml:space="preserve">С изменениями, внесенными </w:t>
      </w:r>
    </w:p>
    <w:p>
      <w:pPr>
        <w:pStyle w:val="12"/>
        <w:ind w:left="4320" w:firstLine="720"/>
        <w:rPr>
          <w:rFonts w:ascii="Times New Roman" w:hAnsi="Times New Roman"/>
          <w:b/>
          <w:b/>
          <w:sz w:val="24"/>
        </w:rPr>
      </w:pPr>
      <w:r>
        <w:rPr>
          <w:rFonts w:ascii="Times New Roman" w:hAnsi="Times New Roman"/>
          <w:b/>
          <w:sz w:val="24"/>
        </w:rPr>
        <w:t>Советом РПРиУ 25.07.2009, 02.04.2021</w:t>
      </w:r>
    </w:p>
    <w:p>
      <w:pPr>
        <w:pStyle w:val="12"/>
        <w:ind w:left="4320" w:firstLine="720"/>
        <w:rPr>
          <w:rFonts w:ascii="Times New Roman" w:hAnsi="Times New Roman"/>
          <w:b/>
          <w:b/>
          <w:sz w:val="24"/>
        </w:rPr>
      </w:pPr>
      <w:r>
        <w:rPr>
          <w:rFonts w:ascii="Times New Roman" w:hAnsi="Times New Roman"/>
          <w:b/>
          <w:sz w:val="24"/>
        </w:rPr>
        <w:t>Председатель Совета РПРиУ</w:t>
      </w:r>
    </w:p>
    <w:p>
      <w:pPr>
        <w:pStyle w:val="12"/>
        <w:ind w:left="6480" w:firstLine="720"/>
        <w:rPr>
          <w:rFonts w:ascii="Times New Roman" w:hAnsi="Times New Roman"/>
          <w:b/>
          <w:b/>
          <w:sz w:val="24"/>
        </w:rPr>
      </w:pPr>
      <w:r>
        <w:rPr>
          <w:rFonts w:ascii="Times New Roman" w:hAnsi="Times New Roman"/>
          <w:b/>
          <w:sz w:val="24"/>
        </w:rPr>
      </w:r>
    </w:p>
    <w:p>
      <w:pPr>
        <w:pStyle w:val="12"/>
        <w:ind w:left="6480" w:firstLine="720"/>
        <w:rPr>
          <w:rFonts w:ascii="Times New Roman" w:hAnsi="Times New Roman"/>
          <w:b/>
          <w:b/>
          <w:sz w:val="24"/>
        </w:rPr>
      </w:pPr>
      <w:r>
        <w:rPr>
          <w:rFonts w:ascii="Times New Roman" w:hAnsi="Times New Roman"/>
          <w:b/>
          <w:sz w:val="24"/>
        </w:rPr>
        <w:t>С.В.Храмов</w:t>
      </w:r>
    </w:p>
    <w:p>
      <w:pPr>
        <w:pStyle w:val="12"/>
        <w:rPr>
          <w:rFonts w:ascii="Times New Roman" w:hAnsi="Times New Roman"/>
          <w:b/>
          <w:b/>
          <w:sz w:val="24"/>
        </w:rPr>
      </w:pPr>
      <w:r>
        <w:rPr>
          <w:rFonts w:ascii="Times New Roman" w:hAnsi="Times New Roman"/>
          <w:b/>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rPr>
          <w:rFonts w:ascii="Times New Roman" w:hAnsi="Times New Roman"/>
          <w:sz w:val="24"/>
        </w:rPr>
      </w:pPr>
      <w:r>
        <w:rPr>
          <w:rFonts w:ascii="Times New Roman" w:hAnsi="Times New Roman"/>
          <w:sz w:val="24"/>
        </w:rPr>
      </w:r>
    </w:p>
    <w:p>
      <w:pPr>
        <w:pStyle w:val="12"/>
        <w:jc w:val="center"/>
        <w:rPr>
          <w:rFonts w:ascii="Times New Roman" w:hAnsi="Times New Roman"/>
          <w:b/>
          <w:b/>
          <w:sz w:val="24"/>
        </w:rPr>
      </w:pPr>
      <w:r>
        <w:rPr>
          <w:rFonts w:ascii="Times New Roman" w:hAnsi="Times New Roman"/>
          <w:b/>
          <w:sz w:val="24"/>
        </w:rPr>
        <w:t>ОБЩЕЕ ПОЛОЖЕНИЕ</w:t>
      </w:r>
    </w:p>
    <w:p>
      <w:pPr>
        <w:pStyle w:val="12"/>
        <w:jc w:val="center"/>
        <w:rPr>
          <w:rFonts w:ascii="Times New Roman" w:hAnsi="Times New Roman"/>
          <w:b/>
          <w:b/>
          <w:sz w:val="24"/>
        </w:rPr>
      </w:pPr>
      <w:r>
        <w:rPr>
          <w:rFonts w:ascii="Times New Roman" w:hAnsi="Times New Roman"/>
          <w:b/>
          <w:sz w:val="24"/>
        </w:rPr>
        <w:t>О ТЕРРИТОРИАЛЬНОЙ ОРГАНИЗАЦИИ</w:t>
      </w:r>
    </w:p>
    <w:p>
      <w:pPr>
        <w:pStyle w:val="111"/>
        <w:ind w:right="-1" w:hanging="0"/>
        <w:rPr>
          <w:sz w:val="28"/>
          <w:szCs w:val="28"/>
        </w:rPr>
      </w:pPr>
      <w:r>
        <w:rPr>
          <w:sz w:val="28"/>
          <w:szCs w:val="28"/>
        </w:rPr>
        <w:t xml:space="preserve">Общероссийского профсоюза работников учреждений образования, культуры, здравоохранения, спорта, государственных, муниципальных и некоммерческих организаций, коммунального хозяйства, торговли, кредитно-финансовых организаций (Общероссийский профсоюз РПРиУ)  </w:t>
      </w:r>
    </w:p>
    <w:p>
      <w:pPr>
        <w:pStyle w:val="12"/>
        <w:ind w:right="-1" w:hanging="0"/>
        <w:jc w:val="center"/>
        <w:rPr>
          <w:rFonts w:ascii="Times New Roman" w:hAnsi="Times New Roman"/>
          <w:b/>
          <w:b/>
          <w:sz w:val="24"/>
        </w:rPr>
      </w:pPr>
      <w:r>
        <w:rPr>
          <w:rFonts w:ascii="Times New Roman" w:hAnsi="Times New Roman"/>
          <w:b/>
          <w:sz w:val="24"/>
        </w:rPr>
        <w:t xml:space="preserve"> </w:t>
      </w:r>
      <w:r>
        <w:rPr>
          <w:rFonts w:ascii="Times New Roman" w:hAnsi="Times New Roman"/>
          <w:b/>
          <w:sz w:val="24"/>
        </w:rPr>
        <w:t>(Приложение к Уставу РПРиУ)</w:t>
      </w:r>
    </w:p>
    <w:p>
      <w:pPr>
        <w:pStyle w:val="12"/>
        <w:rPr>
          <w:rFonts w:ascii="Times New Roman" w:hAnsi="Times New Roman"/>
          <w:sz w:val="24"/>
        </w:rPr>
      </w:pPr>
      <w:r>
        <w:rPr>
          <w:rFonts w:ascii="Times New Roman" w:hAnsi="Times New Roman"/>
          <w:sz w:val="24"/>
        </w:rPr>
      </w:r>
    </w:p>
    <w:p>
      <w:pPr>
        <w:pStyle w:val="12"/>
        <w:jc w:val="center"/>
        <w:rPr>
          <w:rFonts w:ascii="Times New Roman" w:hAnsi="Times New Roman"/>
          <w:sz w:val="24"/>
        </w:rPr>
      </w:pPr>
      <w:r>
        <w:rPr>
          <w:rFonts w:ascii="Times New Roman" w:hAnsi="Times New Roman"/>
          <w:sz w:val="24"/>
        </w:rPr>
        <w:t>1. ОБЩИЕ ПОЛОЖЕНИЯ</w:t>
      </w:r>
    </w:p>
    <w:p>
      <w:pPr>
        <w:pStyle w:val="21"/>
        <w:numPr>
          <w:ilvl w:val="1"/>
          <w:numId w:val="1"/>
        </w:numPr>
        <w:tabs>
          <w:tab w:val="clear" w:pos="720"/>
          <w:tab w:val="left" w:pos="1134" w:leader="none"/>
        </w:tabs>
        <w:ind w:left="0" w:firstLine="567"/>
        <w:rPr/>
      </w:pPr>
      <w:r>
        <w:rPr/>
        <w:t xml:space="preserve">Территориальная организация (в дальнейшем по тексту – территориальная организация или ТО) Общероссийского профсоюза работников учреждений образования, культуры, здравоохранения, спорта, государственных, муниципальных и некоммерческих организаций, коммунального хозяйства, торговли, кредитно-финансовых организаций (Общероссийский профсоюз РПРиУ, в дальнейшем по тексту – РПРиУ) – это (в соответствии со ст.3 Федерального Закона «О профессиональных союзах, их правах и гарантиях деятельности») добровольное объединение членов первичных профсоюзных организаций РПРиУ, действующее на территории одного субъекта Российской Федерации, либо на территории нескольких субъектов Российской Федерации одного Федерального округа, либо на территории города или района, иного административно-территориального образования. </w:t>
      </w:r>
    </w:p>
    <w:p>
      <w:pPr>
        <w:pStyle w:val="21"/>
        <w:numPr>
          <w:ilvl w:val="1"/>
          <w:numId w:val="1"/>
        </w:numPr>
        <w:tabs>
          <w:tab w:val="clear" w:pos="720"/>
          <w:tab w:val="left" w:pos="1134" w:leader="none"/>
        </w:tabs>
        <w:ind w:left="0" w:firstLine="567"/>
        <w:rPr/>
      </w:pPr>
      <w:r>
        <w:rPr/>
        <w:t xml:space="preserve">Настоящее Общее Положение, наряду с Уставом РПРиУ, является обязательным нормативным актом для Территориальных Организаций РПРиУ. Территориальные Организации РПРиУ вправе принимать дополнения и изменения к настоящему Положению или собственные Положения, которые подлежат утверждению Советом РПРиУ и распространяются на соответствующие Территориальные организации. </w:t>
      </w:r>
    </w:p>
    <w:p>
      <w:pPr>
        <w:pStyle w:val="21"/>
        <w:numPr>
          <w:ilvl w:val="1"/>
          <w:numId w:val="1"/>
        </w:numPr>
        <w:tabs>
          <w:tab w:val="clear" w:pos="720"/>
          <w:tab w:val="left" w:pos="1134" w:leader="none"/>
        </w:tabs>
        <w:ind w:left="0" w:firstLine="567"/>
        <w:rPr/>
      </w:pPr>
      <w:r>
        <w:rPr/>
        <w:t>Право толкования настоящего Положения, его отдельных пунктов и порядка его применения, внесение в него изменений и дополнений является исключительной компетенцией Совета РПРиУ, Конференции РПРиУ.</w:t>
      </w:r>
    </w:p>
    <w:p>
      <w:pPr>
        <w:pStyle w:val="21"/>
        <w:numPr>
          <w:ilvl w:val="1"/>
          <w:numId w:val="1"/>
        </w:numPr>
        <w:tabs>
          <w:tab w:val="clear" w:pos="720"/>
          <w:tab w:val="left" w:pos="1134" w:leader="none"/>
        </w:tabs>
        <w:ind w:left="0" w:firstLine="567"/>
        <w:rPr/>
      </w:pPr>
      <w:r>
        <w:rPr/>
        <w:t xml:space="preserve">Основная деятельность ТО направлена на реализацию уставных целей и задач РПРиУ на уровне соответствующей территории и осуществляется в соответствии с Уставом РПРиУ, действующим законодательством РФ, законодательством соответствующих субъектов РФ, общепризнанными международными принципами и нормами, а также настоящим Положением и собственными нормативными актами. Права и полномочия ТО, их органов и должностных лиц, определяемые действующим и вновь вводимым законодательством РФ и субъектов РФ и не отраженные в Уставе РПРиУ и настоящем Положении, распространяются на Территориальные Организации, их органы и должностных лиц в полном объеме. Особенности в правах и полномочиях ТО, образованных вне структуры РПРиУ и приобретших статус  ТО РПРИиУ на основании специального соглашения, определяются соответствующим соглашением. </w:t>
      </w:r>
    </w:p>
    <w:p>
      <w:pPr>
        <w:pStyle w:val="21"/>
        <w:numPr>
          <w:ilvl w:val="1"/>
          <w:numId w:val="1"/>
        </w:numPr>
        <w:tabs>
          <w:tab w:val="clear" w:pos="720"/>
          <w:tab w:val="left" w:pos="1134" w:leader="none"/>
        </w:tabs>
        <w:ind w:left="0" w:firstLine="567"/>
        <w:rPr/>
      </w:pPr>
      <w:r>
        <w:rPr/>
        <w:t xml:space="preserve">На территории одного субъекта Российской Федерации, либо на территории нескольких субъектов Российской Федерации одного федерального округа, либо на территории города или района, иного административно-территориального образования может быть образована одна ТО РПРиУ, или несколько ТО РПРиУпо отраслевому признаку, или одна ТО РПРиУи несколько ТО РПРиУ по отраслевому (профессиональному) признаку. Порядок их взаимодействия определяется Советом РПРиУ. </w:t>
      </w:r>
    </w:p>
    <w:p>
      <w:pPr>
        <w:pStyle w:val="21"/>
        <w:numPr>
          <w:ilvl w:val="1"/>
          <w:numId w:val="1"/>
        </w:numPr>
        <w:tabs>
          <w:tab w:val="clear" w:pos="720"/>
          <w:tab w:val="left" w:pos="1134" w:leader="none"/>
        </w:tabs>
        <w:ind w:left="0" w:firstLine="567"/>
        <w:rPr/>
      </w:pPr>
      <w:r>
        <w:rPr/>
        <w:t>Территориальная Организация самостоятельно определяет свою структуру, создает при необходимости соответствующие комитеты и рабочие группы, избирает и назначает должностных лиц, а также образует постоянные и временные комиссии, деятельность которых направлена на обеспечение уставной деятельности ТО.</w:t>
      </w:r>
    </w:p>
    <w:p>
      <w:pPr>
        <w:pStyle w:val="21"/>
        <w:numPr>
          <w:ilvl w:val="1"/>
          <w:numId w:val="1"/>
        </w:numPr>
        <w:tabs>
          <w:tab w:val="clear" w:pos="720"/>
          <w:tab w:val="left" w:pos="1134" w:leader="none"/>
        </w:tabs>
        <w:ind w:left="0" w:firstLine="567"/>
        <w:rPr>
          <w:spacing w:val="-5"/>
        </w:rPr>
      </w:pPr>
      <w:r>
        <w:rPr/>
        <w:t>Территориальные Организации приобретают определенные законодательством о профсоюзах и об общественных объединениях права с момента их создания. Обязанности РПРиУ к ТО возникают с момента утверждения Советом РПРиУ.</w:t>
      </w:r>
    </w:p>
    <w:p>
      <w:pPr>
        <w:pStyle w:val="21"/>
        <w:numPr>
          <w:ilvl w:val="1"/>
          <w:numId w:val="1"/>
        </w:numPr>
        <w:tabs>
          <w:tab w:val="clear" w:pos="720"/>
          <w:tab w:val="left" w:pos="1134" w:leader="none"/>
        </w:tabs>
        <w:ind w:left="0" w:firstLine="567"/>
        <w:rPr/>
      </w:pPr>
      <w:r>
        <w:rPr/>
        <w:t>ТО может приобретать права юридического лица в соответствии с действующим зако</w:t>
        <w:softHyphen/>
        <w:t>но</w:t>
        <w:softHyphen/>
        <w:t>датель</w:t>
        <w:softHyphen/>
        <w:t>ст</w:t>
        <w:softHyphen/>
        <w:t>вом и Уставом РПРиУ.  Решение о приобретении права юридического ли</w:t>
        <w:softHyphen/>
        <w:t>ца или деятельности ТО без приобретения права юридического лица принимается соответствующим руководящим органом ТО.</w:t>
      </w:r>
    </w:p>
    <w:p>
      <w:pPr>
        <w:pStyle w:val="21"/>
        <w:numPr>
          <w:ilvl w:val="1"/>
          <w:numId w:val="1"/>
        </w:numPr>
        <w:tabs>
          <w:tab w:val="clear" w:pos="720"/>
          <w:tab w:val="left" w:pos="1134" w:leader="none"/>
        </w:tabs>
        <w:ind w:left="0" w:firstLine="567"/>
        <w:rPr/>
      </w:pPr>
      <w:r>
        <w:rPr/>
        <w:t>Если ТО принято решение о приобретении прав юридического лица, то в Совет РПРиУ направляется обращение с просьбой о направлении соответствующего уведомления в управление МЮ РФ соответствующего субъекта РФ.</w:t>
      </w:r>
    </w:p>
    <w:p>
      <w:pPr>
        <w:pStyle w:val="21"/>
        <w:numPr>
          <w:ilvl w:val="1"/>
          <w:numId w:val="1"/>
        </w:numPr>
        <w:tabs>
          <w:tab w:val="clear" w:pos="720"/>
          <w:tab w:val="left" w:pos="1134" w:leader="none"/>
        </w:tabs>
        <w:ind w:left="0" w:firstLine="567"/>
        <w:rPr/>
      </w:pPr>
      <w:r>
        <w:rPr/>
        <w:t>ТО приобретает права юридического лица со дня государственной регистрации.</w:t>
      </w:r>
    </w:p>
    <w:p>
      <w:pPr>
        <w:pStyle w:val="12"/>
        <w:ind w:left="567" w:hanging="0"/>
        <w:jc w:val="both"/>
        <w:rPr>
          <w:rFonts w:ascii="Times New Roman" w:hAnsi="Times New Roman"/>
          <w:sz w:val="24"/>
        </w:rPr>
      </w:pPr>
      <w:r>
        <w:rPr>
          <w:rFonts w:ascii="Times New Roman" w:hAnsi="Times New Roman"/>
          <w:sz w:val="24"/>
        </w:rPr>
      </w:r>
    </w:p>
    <w:p>
      <w:pPr>
        <w:pStyle w:val="12"/>
        <w:numPr>
          <w:ilvl w:val="0"/>
          <w:numId w:val="1"/>
        </w:numPr>
        <w:jc w:val="center"/>
        <w:rPr>
          <w:rFonts w:ascii="Times New Roman" w:hAnsi="Times New Roman"/>
          <w:sz w:val="24"/>
        </w:rPr>
      </w:pPr>
      <w:r>
        <w:rPr>
          <w:rFonts w:ascii="Times New Roman" w:hAnsi="Times New Roman"/>
          <w:sz w:val="24"/>
        </w:rPr>
        <w:t>ОРГАНЫ ТЕРРИТОРИАЛЬНОЙ ОРГАНИЗАЦИИ РПРиУ</w:t>
      </w:r>
    </w:p>
    <w:p>
      <w:pPr>
        <w:pStyle w:val="21"/>
        <w:numPr>
          <w:ilvl w:val="1"/>
          <w:numId w:val="1"/>
        </w:numPr>
        <w:tabs>
          <w:tab w:val="clear" w:pos="720"/>
          <w:tab w:val="left" w:pos="1134" w:leader="none"/>
        </w:tabs>
        <w:ind w:left="0" w:firstLine="567"/>
        <w:rPr/>
      </w:pPr>
      <w:r>
        <w:rPr/>
        <w:t>Высшим органом Территориальной Организации является конференция.</w:t>
      </w:r>
    </w:p>
    <w:p>
      <w:pPr>
        <w:pStyle w:val="21"/>
        <w:numPr>
          <w:ilvl w:val="1"/>
          <w:numId w:val="1"/>
        </w:numPr>
        <w:tabs>
          <w:tab w:val="clear" w:pos="720"/>
          <w:tab w:val="left" w:pos="1134" w:leader="none"/>
        </w:tabs>
        <w:ind w:left="0" w:firstLine="567"/>
        <w:rPr/>
      </w:pPr>
      <w:r>
        <w:rPr/>
        <w:t>Руководящим выборным органом ТО является соответствующий территориальный (Межрегиональный, Республиканский, Краевой, Областной, Городской, Районный или Поселковый) Совет (Комитет). Органами ТО являются ревизионная комиссия, комиссии по коллективным переговорам, по разрешению коллективных трудовых споров, по охране труда, по социальному страхованию и другие.</w:t>
      </w:r>
    </w:p>
    <w:p>
      <w:pPr>
        <w:pStyle w:val="21"/>
        <w:numPr>
          <w:ilvl w:val="1"/>
          <w:numId w:val="1"/>
        </w:numPr>
        <w:tabs>
          <w:tab w:val="clear" w:pos="720"/>
          <w:tab w:val="left" w:pos="1134" w:leader="none"/>
        </w:tabs>
        <w:ind w:left="0" w:firstLine="567"/>
        <w:rPr/>
      </w:pPr>
      <w:r>
        <w:rPr/>
        <w:t>Конференция ТО имеет право предпринимать и направлять любые действия ТО, не противоречащие законодательству, Уставу РПРиУ, и другим нормативным документам, принятым и действующим в РПРиУ.</w:t>
      </w:r>
    </w:p>
    <w:p>
      <w:pPr>
        <w:pStyle w:val="21"/>
        <w:numPr>
          <w:ilvl w:val="1"/>
          <w:numId w:val="1"/>
        </w:numPr>
        <w:tabs>
          <w:tab w:val="clear" w:pos="720"/>
          <w:tab w:val="left" w:pos="1134" w:leader="none"/>
        </w:tabs>
        <w:ind w:left="0" w:firstLine="567"/>
        <w:rPr/>
      </w:pPr>
      <w:r>
        <w:rPr/>
        <w:t>Решение о дате и месте проведения конференции Территориальной Организации принимает соответствующий территориальный комитет или группа первичных организаций численностью не менее 1/5 от общего числа членов первичных организаций ТО.</w:t>
      </w:r>
    </w:p>
    <w:p>
      <w:pPr>
        <w:pStyle w:val="21"/>
        <w:numPr>
          <w:ilvl w:val="1"/>
          <w:numId w:val="1"/>
        </w:numPr>
        <w:tabs>
          <w:tab w:val="clear" w:pos="720"/>
          <w:tab w:val="left" w:pos="1134" w:leader="none"/>
        </w:tabs>
        <w:ind w:left="0" w:firstLine="567"/>
        <w:rPr/>
      </w:pPr>
      <w:r>
        <w:rPr/>
        <w:t>Комитет обязан в месячный срок созвать конференцию соответствующей Территориальной Организации по требованию Совета РПРиУ.</w:t>
      </w:r>
    </w:p>
    <w:p>
      <w:pPr>
        <w:pStyle w:val="21"/>
        <w:numPr>
          <w:ilvl w:val="1"/>
          <w:numId w:val="1"/>
        </w:numPr>
        <w:tabs>
          <w:tab w:val="clear" w:pos="720"/>
          <w:tab w:val="left" w:pos="1134" w:leader="none"/>
        </w:tabs>
        <w:ind w:left="0" w:firstLine="567"/>
        <w:rPr/>
      </w:pPr>
      <w:r>
        <w:rPr/>
        <w:t>Конференция:</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принимает решения, направленные на реализацию уставных целей и задач РПРиУ;</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предлагает (формирует) предложения для представления на конференции РПРиУ;</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определяет структуру Территориальной Организации;</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избирает Председателя Территориальной Организации (Председателя Комитета);</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формирует Комитет Территориальной Организации, избирает или назначает других должностных лиц (профсоюзных представителей);</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определяет штат освобожденных профсоюзных работников и условия их труда или поручает это Комитету;</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заслушивает отчет председателя и членов Комитета о выполнении решений конференций, реализации уставных задач РПРиУ;</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заслушивает отчет ревизионной комиссии;</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выдвигает и избирает делегатов на конференции РПРиУ;</w:t>
      </w:r>
    </w:p>
    <w:p>
      <w:pPr>
        <w:pStyle w:val="21"/>
        <w:numPr>
          <w:ilvl w:val="1"/>
          <w:numId w:val="1"/>
        </w:numPr>
        <w:tabs>
          <w:tab w:val="clear" w:pos="720"/>
          <w:tab w:val="left" w:pos="1134" w:leader="none"/>
        </w:tabs>
        <w:ind w:left="0" w:firstLine="567"/>
        <w:rPr/>
      </w:pPr>
      <w:r>
        <w:rPr/>
        <w:t>Конференция вправе решить так же любые другие вопросы, относящиеся к деятельности ТО.</w:t>
      </w:r>
    </w:p>
    <w:p>
      <w:pPr>
        <w:pStyle w:val="21"/>
        <w:numPr>
          <w:ilvl w:val="1"/>
          <w:numId w:val="1"/>
        </w:numPr>
        <w:tabs>
          <w:tab w:val="clear" w:pos="720"/>
          <w:tab w:val="left" w:pos="1134" w:leader="none"/>
        </w:tabs>
        <w:ind w:left="0" w:firstLine="567"/>
        <w:rPr/>
      </w:pPr>
      <w:r>
        <w:rPr/>
        <w:t>Нормы представительства делегатов конференции и формы их выборов определяются Комитетом.</w:t>
      </w:r>
    </w:p>
    <w:p>
      <w:pPr>
        <w:pStyle w:val="21"/>
        <w:numPr>
          <w:ilvl w:val="1"/>
          <w:numId w:val="1"/>
        </w:numPr>
        <w:tabs>
          <w:tab w:val="clear" w:pos="720"/>
          <w:tab w:val="left" w:pos="1134" w:leader="none"/>
        </w:tabs>
        <w:ind w:left="0" w:firstLine="567"/>
        <w:rPr/>
      </w:pPr>
      <w:r>
        <w:rPr/>
        <w:t>Конференция правомочна обсуждать любые вопросы и выносить по ним решения, если на конференции присутствует не менее 1/2 от числа делегатов конференции. Если на конференции присутствует менее половины от списочного состава делегатов, то соответствующие решения вступают в силу после поддержки их более чем половиной от списочного состава делегатов путем подписания опросных листов или иным однозначно определяющим мнение большинства делегатов конференции образом.</w:t>
      </w:r>
    </w:p>
    <w:p>
      <w:pPr>
        <w:pStyle w:val="21"/>
        <w:numPr>
          <w:ilvl w:val="1"/>
          <w:numId w:val="1"/>
        </w:numPr>
        <w:tabs>
          <w:tab w:val="clear" w:pos="720"/>
          <w:tab w:val="left" w:pos="1134" w:leader="none"/>
        </w:tabs>
        <w:ind w:left="0" w:firstLine="567"/>
        <w:rPr/>
      </w:pPr>
      <w:r>
        <w:rPr/>
        <w:t>В перерывах между конференциями Территориальной Организации ее руководящим органом является Комитет (Совет). Комитет избирается конференцией ТО. Порядок, условия избрания и срок полномочий Комитета определяются конференцией.</w:t>
      </w:r>
    </w:p>
    <w:p>
      <w:pPr>
        <w:pStyle w:val="21"/>
        <w:numPr>
          <w:ilvl w:val="1"/>
          <w:numId w:val="1"/>
        </w:numPr>
        <w:tabs>
          <w:tab w:val="clear" w:pos="720"/>
          <w:tab w:val="left" w:pos="1134" w:leader="none"/>
        </w:tabs>
        <w:ind w:left="0" w:firstLine="567"/>
        <w:rPr/>
      </w:pPr>
      <w:r>
        <w:rPr/>
        <w:t xml:space="preserve">Вопрос о переизбрании (продлении полномочий) председателя и членов Комитета в обязательном порядке вносится в повестку </w:t>
      </w:r>
      <w:bookmarkStart w:id="0" w:name="_GoBack"/>
      <w:bookmarkEnd w:id="0"/>
      <w:r>
        <w:rPr/>
        <w:t>конференции соответствующей ТО не реже одного раза в два года.</w:t>
      </w:r>
    </w:p>
    <w:p>
      <w:pPr>
        <w:pStyle w:val="21"/>
        <w:numPr>
          <w:ilvl w:val="1"/>
          <w:numId w:val="1"/>
        </w:numPr>
        <w:tabs>
          <w:tab w:val="clear" w:pos="720"/>
          <w:tab w:val="left" w:pos="1134" w:leader="none"/>
        </w:tabs>
        <w:ind w:left="0" w:firstLine="567"/>
        <w:rPr/>
      </w:pPr>
      <w:r>
        <w:rPr/>
        <w:t>Расформирование Комитета, изменение его состава и отзыв членов комитета производится конференцией в том же порядке, что и избрание.</w:t>
      </w:r>
    </w:p>
    <w:p>
      <w:pPr>
        <w:pStyle w:val="21"/>
        <w:numPr>
          <w:ilvl w:val="1"/>
          <w:numId w:val="1"/>
        </w:numPr>
        <w:tabs>
          <w:tab w:val="clear" w:pos="720"/>
          <w:tab w:val="left" w:pos="1134" w:leader="none"/>
        </w:tabs>
        <w:ind w:left="0" w:firstLine="567"/>
        <w:rPr/>
      </w:pPr>
      <w:r>
        <w:rPr/>
        <w:t>Комитет представляет интересы работников в отношениях с работодателями, государственными, судебными и общественными организациями и органами, функционирующими в тех административно-территориальных образованиях, где действует Территориальная Организация, а в необходимых случаях – и за их пределами.</w:t>
      </w:r>
    </w:p>
    <w:p>
      <w:pPr>
        <w:pStyle w:val="21"/>
        <w:numPr>
          <w:ilvl w:val="1"/>
          <w:numId w:val="1"/>
        </w:numPr>
        <w:tabs>
          <w:tab w:val="clear" w:pos="720"/>
          <w:tab w:val="left" w:pos="1134" w:leader="none"/>
        </w:tabs>
        <w:ind w:left="0" w:firstLine="567"/>
        <w:rPr/>
      </w:pPr>
      <w:r>
        <w:rPr/>
        <w:t>Выполняя уставные задачи, Комитет от имени Организации и представляемых работников ведет переговоры и заключает территориальные соглашения и контролирует их выполнение работодателями и их представителями, органами власти; выдвигает требования, составляющие предмет коллективного трудового спора, контролирует соблюдение трудового законодательства, норм производственной санитарии, охраны труда и техники безопасности, расходование средств государственного социального страхования и фондов общественного потребления; объявляет и проводит забастовки и другие коллективные акции; формирует согласительные комиссии и комиссии по коллективным переговорам; осуществляет иную деятельность, если она не отнесена к исключительной компетенции других органов РПРиУ.</w:t>
      </w:r>
    </w:p>
    <w:p>
      <w:pPr>
        <w:pStyle w:val="21"/>
        <w:numPr>
          <w:ilvl w:val="1"/>
          <w:numId w:val="1"/>
        </w:numPr>
        <w:tabs>
          <w:tab w:val="clear" w:pos="720"/>
          <w:tab w:val="left" w:pos="1134" w:leader="none"/>
        </w:tabs>
        <w:ind w:left="0" w:firstLine="567"/>
        <w:rPr/>
      </w:pPr>
      <w:r>
        <w:rPr/>
        <w:t>Для решения уставных задач и выполнения целевых программ Комитет Территориальной Организации, обладающей правами юридического лица, может создавать организации, фонды, и другие подразделения, направлять их деятельность и нести ответственность за ее результаты в случаях, если данные подразделения не являются юридическими лицами. Организации и другие подразделения, создаваемые Комитетом, могут размещаться и проводить свою деятельность как в пределах административно-территориального образования своей ТО, так и вне его. Организации и подразделения по решению Комитета и в установленном законодательством порядке могут являться юридическими лицами, иметь расчетные и иные счета, печать со своим наименованием, штампы, бланки и прочие реквизиты.</w:t>
      </w:r>
    </w:p>
    <w:p>
      <w:pPr>
        <w:pStyle w:val="21"/>
        <w:numPr>
          <w:ilvl w:val="1"/>
          <w:numId w:val="1"/>
        </w:numPr>
        <w:tabs>
          <w:tab w:val="clear" w:pos="720"/>
          <w:tab w:val="left" w:pos="1134" w:leader="none"/>
        </w:tabs>
        <w:ind w:left="0" w:firstLine="567"/>
        <w:rPr/>
      </w:pPr>
      <w:r>
        <w:rPr/>
        <w:t>Комитет ТО может являться органом юридического лица – соответствующей ТО. Он может иметь текущие и иные счета, печать со своим наименованием, штампы, бланки и прочие реквизиты.</w:t>
      </w:r>
    </w:p>
    <w:p>
      <w:pPr>
        <w:pStyle w:val="21"/>
        <w:numPr>
          <w:ilvl w:val="1"/>
          <w:numId w:val="1"/>
        </w:numPr>
        <w:tabs>
          <w:tab w:val="clear" w:pos="720"/>
          <w:tab w:val="left" w:pos="1134" w:leader="none"/>
        </w:tabs>
        <w:ind w:left="0" w:firstLine="567"/>
        <w:rPr/>
      </w:pPr>
      <w:r>
        <w:rPr/>
        <w:t xml:space="preserve">В своей работе Комитет подотчетен конференции образовавшей его Территориальной Организации и Совету РПРиУ. </w:t>
      </w:r>
    </w:p>
    <w:p>
      <w:pPr>
        <w:pStyle w:val="21"/>
        <w:numPr>
          <w:ilvl w:val="1"/>
          <w:numId w:val="1"/>
        </w:numPr>
        <w:tabs>
          <w:tab w:val="clear" w:pos="720"/>
          <w:tab w:val="left" w:pos="1134" w:leader="none"/>
        </w:tabs>
        <w:ind w:left="0" w:firstLine="567"/>
        <w:rPr/>
      </w:pPr>
      <w:r>
        <w:rPr/>
        <w:t>Полномочия Комитета ТО соответствуют полномочиям профсоюзного органа, определяемым законодательством Российской Федерации и иными нормативными актами. Права профсоюзного органа и профсоюзного представителя, определяемые законодательством РФ, утверждению не подлежат.</w:t>
      </w:r>
    </w:p>
    <w:p>
      <w:pPr>
        <w:pStyle w:val="21"/>
        <w:numPr>
          <w:ilvl w:val="1"/>
          <w:numId w:val="1"/>
        </w:numPr>
        <w:tabs>
          <w:tab w:val="clear" w:pos="720"/>
          <w:tab w:val="left" w:pos="1134" w:leader="none"/>
        </w:tabs>
        <w:ind w:left="0" w:firstLine="567"/>
        <w:rPr/>
      </w:pPr>
      <w:r>
        <w:rPr/>
        <w:t xml:space="preserve">Комитет ТО состоит не менее, чем из 3 членов РПРиУ. </w:t>
      </w:r>
    </w:p>
    <w:p>
      <w:pPr>
        <w:pStyle w:val="Normal"/>
        <w:ind w:firstLine="567"/>
        <w:jc w:val="both"/>
        <w:rPr>
          <w:rFonts w:ascii="Times New Roman" w:hAnsi="Times New Roman"/>
          <w:sz w:val="24"/>
          <w:szCs w:val="24"/>
        </w:rPr>
      </w:pPr>
      <w:r>
        <w:rPr>
          <w:rFonts w:ascii="Times New Roman" w:hAnsi="Times New Roman"/>
          <w:sz w:val="24"/>
          <w:szCs w:val="24"/>
        </w:rPr>
        <w:t>2.20. В целях содействия решению уставных задач Совет РПРиУ вправе предоставить Комитету ТО полномочия органа первичной профсоюзной организации профсоюза в отношении членов профсоюза, состоящих в трудовых отношениях с работодателями у которых не создана первичная профорганизация РПРиУ и/или принятых в члены профсоюза непосредственно Комитетом ТО РПРиУ или иным полномочным органом РПРиУ.</w:t>
      </w:r>
    </w:p>
    <w:p>
      <w:pPr>
        <w:pStyle w:val="21"/>
        <w:ind w:left="567" w:hanging="0"/>
        <w:rPr/>
      </w:pPr>
      <w:r>
        <w:rPr/>
      </w:r>
    </w:p>
    <w:p>
      <w:pPr>
        <w:pStyle w:val="12"/>
        <w:jc w:val="center"/>
        <w:rPr>
          <w:rFonts w:ascii="Times New Roman" w:hAnsi="Times New Roman"/>
          <w:sz w:val="24"/>
        </w:rPr>
      </w:pPr>
      <w:r>
        <w:rPr>
          <w:rFonts w:ascii="Times New Roman" w:hAnsi="Times New Roman"/>
          <w:sz w:val="24"/>
        </w:rPr>
        <w:t xml:space="preserve"> </w:t>
      </w:r>
    </w:p>
    <w:p>
      <w:pPr>
        <w:pStyle w:val="12"/>
        <w:jc w:val="center"/>
        <w:rPr>
          <w:rFonts w:ascii="Times New Roman" w:hAnsi="Times New Roman"/>
          <w:sz w:val="24"/>
        </w:rPr>
      </w:pPr>
      <w:r>
        <w:rPr>
          <w:rFonts w:ascii="Times New Roman" w:hAnsi="Times New Roman"/>
          <w:sz w:val="24"/>
        </w:rPr>
        <w:t>3. ПРЕДСЕДАТЕЛЬ (КОМИТЕТА, СОВЕТА) ТЕРРИТОРИАЛЬНОЙ ОРГАНИЗАЦИИ.</w:t>
      </w:r>
    </w:p>
    <w:p>
      <w:pPr>
        <w:pStyle w:val="21"/>
        <w:numPr>
          <w:ilvl w:val="1"/>
          <w:numId w:val="3"/>
        </w:numPr>
        <w:tabs>
          <w:tab w:val="clear" w:pos="720"/>
          <w:tab w:val="left" w:pos="1134" w:leader="none"/>
        </w:tabs>
        <w:ind w:left="0" w:firstLine="567"/>
        <w:rPr/>
      </w:pPr>
      <w:r>
        <w:rPr/>
        <w:t xml:space="preserve">Председатель (Комитета) Территориальной Организации избирается конференцией ТО. За избрание председателя должно проголосовать не менее половины от числа избранных на конференцию делегатов, как правило, тайным голосованием. </w:t>
      </w:r>
    </w:p>
    <w:p>
      <w:pPr>
        <w:pStyle w:val="21"/>
        <w:numPr>
          <w:ilvl w:val="1"/>
          <w:numId w:val="3"/>
        </w:numPr>
        <w:tabs>
          <w:tab w:val="clear" w:pos="720"/>
          <w:tab w:val="left" w:pos="1134" w:leader="none"/>
        </w:tabs>
        <w:ind w:left="0" w:firstLine="567"/>
        <w:rPr/>
      </w:pPr>
      <w:r>
        <w:rPr/>
        <w:t>Срок полномочий Председателя совпадает со сроком полномочий Комитета ТО.</w:t>
      </w:r>
    </w:p>
    <w:p>
      <w:pPr>
        <w:pStyle w:val="21"/>
        <w:numPr>
          <w:ilvl w:val="1"/>
          <w:numId w:val="3"/>
        </w:numPr>
        <w:tabs>
          <w:tab w:val="clear" w:pos="720"/>
          <w:tab w:val="left" w:pos="1134" w:leader="none"/>
        </w:tabs>
        <w:ind w:left="0" w:firstLine="567"/>
        <w:rPr/>
      </w:pPr>
      <w:r>
        <w:rPr/>
        <w:t>Председатель (Комитета) ТО:</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подписывает от имени ТО и представляемых работников соглашение, требования по коллективному трудовому спору, представления об устранении нарушений законодательства, иные заявления и документы;</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несет ответственность перед членами ТО за организацию контроля по выполнению соглашений и обеспечению работодателями здоровых и безопасных условий труда;</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формирует аппарат наемных работников, нанимает и увольняет работников аппарата и несет ответственность за организацию и результаты их работы;</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представляет (без доверенности) интересы ТО и ее членов во взаимоотношениях с представителями работодателя, в судебных и правоохранительных органах и в иных органах и организациях;</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подготавливает и ведет заседания Комитета;</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исполняет бюджет Комитета и ТО;</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представляет конференции ТО смету доходов и расходов профсоюзного бюджета ТО для утверждения;</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несет ответственность перед Советом РПРиУ за исполнение обязательных платежей в соответствии с Уставом и решениями Совета РПРиУ.</w:t>
      </w:r>
    </w:p>
    <w:p>
      <w:pPr>
        <w:pStyle w:val="21"/>
        <w:numPr>
          <w:ilvl w:val="1"/>
          <w:numId w:val="3"/>
        </w:numPr>
        <w:tabs>
          <w:tab w:val="clear" w:pos="720"/>
          <w:tab w:val="left" w:pos="1134" w:leader="none"/>
        </w:tabs>
        <w:ind w:left="0" w:firstLine="567"/>
        <w:rPr/>
      </w:pPr>
      <w:r>
        <w:rPr/>
        <w:t>При необходимости Комитетом избирается заместитель председателя.</w:t>
      </w:r>
    </w:p>
    <w:p>
      <w:pPr>
        <w:pStyle w:val="21"/>
        <w:numPr>
          <w:ilvl w:val="1"/>
          <w:numId w:val="3"/>
        </w:numPr>
        <w:tabs>
          <w:tab w:val="clear" w:pos="720"/>
          <w:tab w:val="left" w:pos="1134" w:leader="none"/>
        </w:tabs>
        <w:ind w:left="0" w:firstLine="567"/>
        <w:rPr/>
      </w:pPr>
      <w:r>
        <w:rPr/>
        <w:t>Срок полномочий заместителя председателя совпадает со сроком полномочий Комитета ТО.</w:t>
      </w:r>
    </w:p>
    <w:p>
      <w:pPr>
        <w:pStyle w:val="21"/>
        <w:numPr>
          <w:ilvl w:val="1"/>
          <w:numId w:val="3"/>
        </w:numPr>
        <w:tabs>
          <w:tab w:val="clear" w:pos="720"/>
          <w:tab w:val="left" w:pos="1134" w:leader="none"/>
        </w:tabs>
        <w:ind w:left="0" w:firstLine="567"/>
        <w:rPr/>
      </w:pPr>
      <w:r>
        <w:rPr/>
        <w:t>Заместитель председателя (Комитета) Территориальной Организации:</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замещает председателя в его отсутствие;</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по поручению председателя руководит одним или несколькими направлениями деятельности ТО;</w:t>
      </w:r>
    </w:p>
    <w:p>
      <w:pPr>
        <w:pStyle w:val="12"/>
        <w:numPr>
          <w:ilvl w:val="0"/>
          <w:numId w:val="2"/>
        </w:numPr>
        <w:tabs>
          <w:tab w:val="clear" w:pos="720"/>
          <w:tab w:val="left" w:pos="993" w:leader="none"/>
        </w:tabs>
        <w:ind w:left="0" w:firstLine="567"/>
        <w:jc w:val="both"/>
        <w:rPr>
          <w:rFonts w:ascii="Times New Roman" w:hAnsi="Times New Roman"/>
          <w:sz w:val="24"/>
        </w:rPr>
      </w:pPr>
      <w:r>
        <w:rPr>
          <w:rFonts w:ascii="Times New Roman" w:hAnsi="Times New Roman"/>
          <w:sz w:val="24"/>
        </w:rPr>
        <w:t>несет ответственность за делопроизводство в ТО, за ведение и оформление протоколов заседаний Комитета Территориальной Организации.</w:t>
      </w:r>
    </w:p>
    <w:p>
      <w:pPr>
        <w:pStyle w:val="21"/>
        <w:numPr>
          <w:ilvl w:val="1"/>
          <w:numId w:val="3"/>
        </w:numPr>
        <w:tabs>
          <w:tab w:val="clear" w:pos="720"/>
          <w:tab w:val="left" w:pos="1134" w:leader="none"/>
        </w:tabs>
        <w:ind w:left="0" w:firstLine="567"/>
        <w:rPr/>
      </w:pPr>
      <w:r>
        <w:rPr/>
        <w:t>В своей деятельности председатель подотчетен конференции, а его заместитель (ли) подотчетны Комитету и конференции Территориальной Организации.</w:t>
      </w:r>
    </w:p>
    <w:p>
      <w:pPr>
        <w:pStyle w:val="12"/>
        <w:ind w:left="567" w:hanging="0"/>
        <w:jc w:val="both"/>
        <w:rPr>
          <w:rFonts w:ascii="Times New Roman" w:hAnsi="Times New Roman"/>
          <w:sz w:val="24"/>
        </w:rPr>
      </w:pPr>
      <w:r>
        <w:rPr>
          <w:rFonts w:ascii="Times New Roman" w:hAnsi="Times New Roman"/>
          <w:sz w:val="24"/>
        </w:rPr>
      </w:r>
    </w:p>
    <w:p>
      <w:pPr>
        <w:pStyle w:val="12"/>
        <w:jc w:val="center"/>
        <w:rPr>
          <w:rFonts w:ascii="Times New Roman" w:hAnsi="Times New Roman"/>
          <w:sz w:val="24"/>
        </w:rPr>
      </w:pPr>
      <w:r>
        <w:rPr>
          <w:rFonts w:ascii="Times New Roman" w:hAnsi="Times New Roman"/>
          <w:sz w:val="24"/>
        </w:rPr>
        <w:t xml:space="preserve">4. СРЕДСТВА И ИМУЩЕСТВО ТЕРРИТОРИАЛЬНЫХ ОРГАНИЗАЦИЙ                             </w:t>
      </w:r>
    </w:p>
    <w:p>
      <w:pPr>
        <w:pStyle w:val="21"/>
        <w:numPr>
          <w:ilvl w:val="1"/>
          <w:numId w:val="4"/>
        </w:numPr>
        <w:tabs>
          <w:tab w:val="clear" w:pos="720"/>
          <w:tab w:val="left" w:pos="1134" w:leader="none"/>
        </w:tabs>
        <w:ind w:left="0" w:firstLine="567"/>
        <w:rPr/>
      </w:pPr>
      <w:r>
        <w:rPr/>
        <w:t>Средства ТО образуются либо из отчислений от первичных профсоюзных организаций, входящих в соответствующую ТО, либо из отчислений от бюджета РПРиУ, поступлений от результатов деятельности организаций Комитетов, возможных пожертвований и иных поступлений.</w:t>
      </w:r>
    </w:p>
    <w:p>
      <w:pPr>
        <w:pStyle w:val="21"/>
        <w:numPr>
          <w:ilvl w:val="1"/>
          <w:numId w:val="4"/>
        </w:numPr>
        <w:tabs>
          <w:tab w:val="clear" w:pos="720"/>
          <w:tab w:val="left" w:pos="1134" w:leader="none"/>
        </w:tabs>
        <w:ind w:left="0" w:firstLine="567"/>
        <w:rPr/>
      </w:pPr>
      <w:r>
        <w:rPr/>
        <w:t>Порядок аккумулирования и распределения членских профсоюзных взносов между ТО и Советом РПРиУ может определяться по согласованию между ними.</w:t>
      </w:r>
    </w:p>
    <w:p>
      <w:pPr>
        <w:pStyle w:val="21"/>
        <w:numPr>
          <w:ilvl w:val="1"/>
          <w:numId w:val="4"/>
        </w:numPr>
        <w:tabs>
          <w:tab w:val="clear" w:pos="720"/>
          <w:tab w:val="left" w:pos="1134" w:leader="none"/>
        </w:tabs>
        <w:ind w:left="0" w:firstLine="567"/>
        <w:rPr/>
      </w:pPr>
      <w:r>
        <w:rPr/>
        <w:t>Средства ТО являются общественной собственностью и разделению не подлежат.</w:t>
      </w:r>
    </w:p>
    <w:p>
      <w:pPr>
        <w:pStyle w:val="21"/>
        <w:numPr>
          <w:ilvl w:val="1"/>
          <w:numId w:val="4"/>
        </w:numPr>
        <w:tabs>
          <w:tab w:val="clear" w:pos="720"/>
          <w:tab w:val="left" w:pos="1134" w:leader="none"/>
        </w:tabs>
        <w:ind w:left="0" w:firstLine="567"/>
        <w:rPr/>
      </w:pPr>
      <w:r>
        <w:rPr/>
        <w:t>Имущество ТО состоит из движимого и недвижимого имущества, приобретенного на собственные средства ТО, полученного в собственность или в управление от организаций РПРиУ или от иных организаций или физических лиц.</w:t>
      </w:r>
    </w:p>
    <w:p>
      <w:pPr>
        <w:pStyle w:val="12"/>
        <w:ind w:left="567" w:hanging="0"/>
        <w:jc w:val="center"/>
        <w:rPr>
          <w:rFonts w:ascii="Times New Roman" w:hAnsi="Times New Roman"/>
          <w:sz w:val="24"/>
        </w:rPr>
      </w:pPr>
      <w:r>
        <w:rPr>
          <w:rFonts w:ascii="Times New Roman" w:hAnsi="Times New Roman"/>
          <w:sz w:val="24"/>
        </w:rPr>
      </w:r>
    </w:p>
    <w:p>
      <w:pPr>
        <w:pStyle w:val="12"/>
        <w:ind w:left="567" w:hanging="0"/>
        <w:jc w:val="center"/>
        <w:rPr>
          <w:rFonts w:ascii="Times New Roman" w:hAnsi="Times New Roman"/>
          <w:sz w:val="24"/>
        </w:rPr>
      </w:pPr>
      <w:r>
        <w:rPr>
          <w:rFonts w:ascii="Times New Roman" w:hAnsi="Times New Roman"/>
          <w:sz w:val="24"/>
        </w:rPr>
        <w:t>5. РЕВИЗИОННЫЕ ОРГАНЫ ТЕРРИТОРИАЛЬНОЙ ОРГАНИЗАЦИИ</w:t>
      </w:r>
    </w:p>
    <w:p>
      <w:pPr>
        <w:pStyle w:val="21"/>
        <w:numPr>
          <w:ilvl w:val="1"/>
          <w:numId w:val="5"/>
        </w:numPr>
        <w:tabs>
          <w:tab w:val="clear" w:pos="720"/>
          <w:tab w:val="left" w:pos="1134" w:leader="none"/>
        </w:tabs>
        <w:ind w:left="0" w:firstLine="567"/>
        <w:rPr/>
      </w:pPr>
      <w:r>
        <w:rPr/>
        <w:t xml:space="preserve">Контроль за финансовой деятельностью Комитетов осуществляется Ревизионными комиссиями (РК). РК формируются высшими органами соответствующих ТО, или по требованию 1/5 от числа членов первичных организаций, входящих в ТО. </w:t>
      </w:r>
    </w:p>
    <w:p>
      <w:pPr>
        <w:pStyle w:val="21"/>
        <w:numPr>
          <w:ilvl w:val="1"/>
          <w:numId w:val="5"/>
        </w:numPr>
        <w:tabs>
          <w:tab w:val="clear" w:pos="720"/>
          <w:tab w:val="left" w:pos="1134" w:leader="none"/>
        </w:tabs>
        <w:ind w:left="0" w:firstLine="567"/>
        <w:rPr/>
      </w:pPr>
      <w:r>
        <w:rPr/>
        <w:t>Членами РК могут быть как члены РПРиУ, так и привлеченные специалисты. Финансирование их работы производится за счет инициаторов проверок.</w:t>
      </w:r>
    </w:p>
    <w:p>
      <w:pPr>
        <w:pStyle w:val="21"/>
        <w:numPr>
          <w:ilvl w:val="1"/>
          <w:numId w:val="5"/>
        </w:numPr>
        <w:tabs>
          <w:tab w:val="clear" w:pos="720"/>
          <w:tab w:val="left" w:pos="1134" w:leader="none"/>
        </w:tabs>
        <w:ind w:left="0" w:firstLine="567"/>
        <w:rPr/>
      </w:pPr>
      <w:r>
        <w:rPr/>
        <w:t xml:space="preserve">Сроки полномочий ревизионных комиссий, образованных для работы на постоянной основе, определяются соответствующей ТО в момент формирования РК. </w:t>
      </w:r>
    </w:p>
    <w:p>
      <w:pPr>
        <w:pStyle w:val="12"/>
        <w:ind w:left="567" w:hanging="0"/>
        <w:jc w:val="both"/>
        <w:rPr>
          <w:rFonts w:ascii="Times New Roman" w:hAnsi="Times New Roman"/>
          <w:sz w:val="24"/>
        </w:rPr>
      </w:pPr>
      <w:r>
        <w:rPr>
          <w:rFonts w:ascii="Times New Roman" w:hAnsi="Times New Roman"/>
          <w:sz w:val="24"/>
        </w:rPr>
      </w:r>
    </w:p>
    <w:p>
      <w:pPr>
        <w:pStyle w:val="12"/>
        <w:numPr>
          <w:ilvl w:val="0"/>
          <w:numId w:val="5"/>
        </w:numPr>
        <w:jc w:val="center"/>
        <w:rPr>
          <w:rFonts w:ascii="Times New Roman" w:hAnsi="Times New Roman"/>
          <w:sz w:val="24"/>
        </w:rPr>
      </w:pPr>
      <w:r>
        <w:rPr>
          <w:rFonts w:ascii="Times New Roman" w:hAnsi="Times New Roman"/>
          <w:sz w:val="24"/>
        </w:rPr>
        <w:t xml:space="preserve">РЕОРГАНИЗАЦИЯ, ПРИОСТАНОВКА И ПРЕКРАЩЕНИЕ </w:t>
      </w:r>
    </w:p>
    <w:p>
      <w:pPr>
        <w:pStyle w:val="Normal"/>
        <w:overflowPunct w:val="true"/>
        <w:jc w:val="center"/>
        <w:textAlignment w:val="baseline"/>
        <w:rPr>
          <w:rFonts w:ascii="Times New Roman" w:hAnsi="Times New Roman"/>
          <w:spacing w:val="-5"/>
          <w:sz w:val="24"/>
          <w:szCs w:val="24"/>
        </w:rPr>
      </w:pPr>
      <w:r>
        <w:rPr>
          <w:rFonts w:ascii="Times New Roman" w:hAnsi="Times New Roman"/>
          <w:sz w:val="24"/>
        </w:rPr>
        <w:t>ДЕЯТЕЛЬНОСТИ ТЕРРИТОРИАЛЬНОЙ ОРГАНИЗАЦИИ</w:t>
      </w:r>
      <w:r>
        <w:rPr>
          <w:rFonts w:ascii="Times New Roman" w:hAnsi="Times New Roman"/>
          <w:spacing w:val="-5"/>
          <w:sz w:val="24"/>
          <w:szCs w:val="24"/>
        </w:rPr>
        <w:t xml:space="preserve">, </w:t>
      </w:r>
    </w:p>
    <w:p>
      <w:pPr>
        <w:pStyle w:val="Normal"/>
        <w:jc w:val="center"/>
        <w:rPr>
          <w:rFonts w:ascii="Times New Roman" w:hAnsi="Times New Roman"/>
          <w:spacing w:val="-5"/>
          <w:sz w:val="24"/>
          <w:szCs w:val="24"/>
        </w:rPr>
      </w:pPr>
      <w:r>
        <w:rPr>
          <w:rFonts w:ascii="Times New Roman" w:hAnsi="Times New Roman"/>
          <w:spacing w:val="-5"/>
          <w:sz w:val="24"/>
          <w:szCs w:val="24"/>
        </w:rPr>
        <w:t xml:space="preserve">ПОРЯДОК ВНЕСЕНИЯ ИЗМЕНЕНИЙ И ДОПОЛНЕНИЙ В НАСТОЯЩЕЕ ПОЛОЖЕНИЕ </w:t>
      </w:r>
    </w:p>
    <w:p>
      <w:pPr>
        <w:pStyle w:val="Normal"/>
        <w:ind w:firstLine="709"/>
        <w:jc w:val="both"/>
        <w:rPr>
          <w:rFonts w:ascii="Times New Roman" w:hAnsi="Times New Roman"/>
          <w:spacing w:val="-5"/>
          <w:sz w:val="24"/>
          <w:szCs w:val="24"/>
        </w:rPr>
      </w:pPr>
      <w:r>
        <w:rPr>
          <w:rFonts w:ascii="Times New Roman" w:hAnsi="Times New Roman"/>
          <w:spacing w:val="-5"/>
          <w:sz w:val="24"/>
          <w:szCs w:val="24"/>
        </w:rPr>
        <w:t xml:space="preserve">     </w:t>
      </w:r>
      <w:r>
        <w:rPr>
          <w:rFonts w:ascii="Times New Roman" w:hAnsi="Times New Roman"/>
          <w:spacing w:val="-5"/>
          <w:sz w:val="24"/>
          <w:szCs w:val="24"/>
        </w:rPr>
        <w:t>6.1. Территориальная организация может быть реорганизо</w:t>
        <w:softHyphen/>
        <w:t>вана (в форме слияния, присоединения, раз</w:t>
        <w:softHyphen/>
        <w:t>деления или выделения) либо ликвидирована в соответствии с законодательством РФ по решению специальной Конференции ТО. Решение о прекращении деятельности считается принятым, если за него подано не менее 3/4 голосов делегатов Конференции.</w:t>
      </w:r>
    </w:p>
    <w:p>
      <w:pPr>
        <w:pStyle w:val="Normal"/>
        <w:ind w:firstLine="709"/>
        <w:jc w:val="both"/>
        <w:rPr>
          <w:rFonts w:ascii="Times New Roman" w:hAnsi="Times New Roman"/>
          <w:spacing w:val="-5"/>
          <w:sz w:val="24"/>
          <w:szCs w:val="24"/>
        </w:rPr>
      </w:pPr>
      <w:r>
        <w:rPr>
          <w:rFonts w:ascii="Times New Roman" w:hAnsi="Times New Roman"/>
          <w:spacing w:val="-5"/>
          <w:sz w:val="24"/>
          <w:szCs w:val="24"/>
        </w:rPr>
        <w:t xml:space="preserve">6.2. Вопрос о реорганизации или прекращении деятельности ТО может быть включен в повестку Конференции по решению Комитета ТО или по письменным заявлениям не менее 2/3 всех первичных профсоюзных организаций. </w:t>
      </w:r>
    </w:p>
    <w:p>
      <w:pPr>
        <w:pStyle w:val="Normal"/>
        <w:ind w:firstLine="709"/>
        <w:jc w:val="both"/>
        <w:rPr>
          <w:rFonts w:ascii="Times New Roman" w:hAnsi="Times New Roman"/>
          <w:spacing w:val="-5"/>
          <w:sz w:val="24"/>
          <w:szCs w:val="24"/>
        </w:rPr>
      </w:pPr>
      <w:r>
        <w:rPr>
          <w:rFonts w:ascii="Times New Roman" w:hAnsi="Times New Roman"/>
          <w:spacing w:val="-5"/>
          <w:sz w:val="24"/>
          <w:szCs w:val="24"/>
        </w:rPr>
        <w:t>6.3. ТО может быть ликвидирована также по решению Суда субъекта РФ в соответствии с законодательством РФ.</w:t>
      </w:r>
    </w:p>
    <w:p>
      <w:pPr>
        <w:pStyle w:val="Normal"/>
        <w:ind w:firstLine="709"/>
        <w:jc w:val="both"/>
        <w:rPr>
          <w:rFonts w:ascii="Times New Roman" w:hAnsi="Times New Roman"/>
          <w:spacing w:val="-5"/>
          <w:sz w:val="24"/>
          <w:szCs w:val="24"/>
        </w:rPr>
      </w:pPr>
      <w:r>
        <w:rPr>
          <w:rFonts w:ascii="Times New Roman" w:hAnsi="Times New Roman"/>
          <w:spacing w:val="-5"/>
          <w:sz w:val="24"/>
          <w:szCs w:val="24"/>
        </w:rPr>
        <w:t>6.4. В случае прекращения деятельности ТО ее средства и имущество используются на предусмотренные Уставом РПРиУ цели, определяемые Советом РПРиУ и создаваемой им ликвидационной комиссией.</w:t>
      </w:r>
    </w:p>
    <w:p>
      <w:pPr>
        <w:pStyle w:val="Normal"/>
        <w:ind w:firstLine="709"/>
        <w:jc w:val="both"/>
        <w:rPr>
          <w:rFonts w:ascii="Times New Roman" w:hAnsi="Times New Roman"/>
          <w:spacing w:val="-5"/>
          <w:sz w:val="24"/>
          <w:szCs w:val="24"/>
        </w:rPr>
      </w:pPr>
      <w:r>
        <w:rPr>
          <w:rFonts w:ascii="Times New Roman" w:hAnsi="Times New Roman"/>
          <w:spacing w:val="-5"/>
          <w:sz w:val="24"/>
          <w:szCs w:val="24"/>
        </w:rPr>
        <w:t>6.5. Комитет ТО обеспечивает учет и сохранность документов штатных сотрудников при прекращении своей деятельности, своевременно передает их установленным порядком на государственное хранение или в Совет РПРиУ.</w:t>
      </w:r>
    </w:p>
    <w:p>
      <w:pPr>
        <w:pStyle w:val="Normal"/>
        <w:ind w:firstLine="567"/>
        <w:jc w:val="both"/>
        <w:rPr>
          <w:rFonts w:ascii="Times New Roman" w:hAnsi="Times New Roman"/>
          <w:spacing w:val="-5"/>
          <w:sz w:val="24"/>
          <w:szCs w:val="24"/>
        </w:rPr>
      </w:pPr>
      <w:r>
        <w:rPr>
          <w:rFonts w:ascii="Times New Roman" w:hAnsi="Times New Roman"/>
          <w:spacing w:val="-5"/>
          <w:sz w:val="24"/>
          <w:szCs w:val="24"/>
        </w:rPr>
        <w:t xml:space="preserve"> </w:t>
      </w:r>
      <w:r>
        <w:rPr>
          <w:rFonts w:ascii="Times New Roman" w:hAnsi="Times New Roman"/>
          <w:spacing w:val="-5"/>
          <w:sz w:val="24"/>
          <w:szCs w:val="24"/>
        </w:rPr>
        <w:t xml:space="preserve">6.6. Изменения и дополнения в настоящее Положение вносятся решением Совета РПРиУ или Конференции РПРиУ. </w:t>
      </w:r>
    </w:p>
    <w:p>
      <w:pPr>
        <w:pStyle w:val="Normal"/>
        <w:ind w:firstLine="567"/>
        <w:jc w:val="both"/>
        <w:rPr>
          <w:rFonts w:ascii="Times New Roman" w:hAnsi="Times New Roman"/>
          <w:spacing w:val="-5"/>
          <w:sz w:val="24"/>
          <w:szCs w:val="24"/>
        </w:rPr>
      </w:pPr>
      <w:r>
        <w:rPr>
          <w:rFonts w:ascii="Times New Roman" w:hAnsi="Times New Roman"/>
          <w:spacing w:val="-5"/>
          <w:sz w:val="24"/>
          <w:szCs w:val="24"/>
        </w:rPr>
        <w:t>6.7. Комитет ТО или Конференция ТО вправе принимать уточнения к настоящему Положению, которые после согласования с Советом РПРИУ действуют в отношении соответствующей ТО РПРиУ.</w:t>
      </w:r>
    </w:p>
    <w:p>
      <w:pPr>
        <w:pStyle w:val="21"/>
        <w:rPr>
          <w:szCs w:val="24"/>
        </w:rPr>
      </w:pPr>
      <w:r>
        <w:rPr>
          <w:szCs w:val="24"/>
        </w:rPr>
        <w:t>6.8. За нарушения Устава РПРиУ, а также в случае фактического прекращения выполнения уставных задач, деятельность ТО может быть прекращена решением Совета РПРиУ по собственной инициативе. Решение о прекращении деятельности ТО может быть обжаловано каждой ее первичной организацией в соответствии с Уставом РПРиУ.</w:t>
      </w:r>
    </w:p>
    <w:p>
      <w:pPr>
        <w:pStyle w:val="21"/>
        <w:rPr>
          <w:szCs w:val="24"/>
        </w:rPr>
      </w:pPr>
      <w:r>
        <w:rPr>
          <w:szCs w:val="24"/>
        </w:rPr>
        <w:t xml:space="preserve">6.9. Деятельность ТО может быть приостановлена Советом </w:t>
      </w:r>
      <w:r>
        <w:rPr>
          <w:spacing w:val="-5"/>
          <w:szCs w:val="24"/>
        </w:rPr>
        <w:t>РПРиУ.</w:t>
      </w:r>
      <w:r>
        <w:rPr>
          <w:szCs w:val="24"/>
        </w:rPr>
        <w:t xml:space="preserve"> Решение о приостановке деятельности ТО может быть обжаловано каждой ее первичной организацией в соответствии с Уставом РПРиУ.</w:t>
      </w:r>
    </w:p>
    <w:p>
      <w:pPr>
        <w:pStyle w:val="21"/>
        <w:rPr/>
      </w:pPr>
      <w:r>
        <w:rPr>
          <w:szCs w:val="24"/>
        </w:rPr>
        <w:t>6.10. В случае прекращения деятельности, реорганизации или ликвидации ТО, обладающей правами юридического лица, соответствующее уведомление направляется Председателем РПРиУ в государственный регистрирующий орган соответствующего субъекта РФ и соответствующим работодателям.</w:t>
      </w:r>
      <w:r>
        <w:rPr/>
        <w:t xml:space="preserve"> </w:t>
      </w:r>
    </w:p>
    <w:sectPr>
      <w:headerReference w:type="default" r:id="rId2"/>
      <w:footerReference w:type="default" r:id="rId3"/>
      <w:type w:val="nextPage"/>
      <w:pgSz w:w="11906" w:h="16838"/>
      <w:pgMar w:left="1418" w:right="851" w:header="720" w:top="794" w:footer="720" w:bottom="79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Garamond">
    <w:charset w:val="cc"/>
    <w:family w:val="roman"/>
    <w:pitch w:val="variable"/>
  </w:font>
  <w:font w:name="Liberation Sans">
    <w:altName w:val="Arial"/>
    <w:charset w:val="cc"/>
    <w:family w:val="swiss"/>
    <w:pitch w:val="variable"/>
  </w:font>
  <w:font w:name="MS Sans Serif">
    <w:charset w:val="cc"/>
    <w:family w:val="roman"/>
    <w:pitch w:val="variable"/>
  </w:font>
  <w:font w:name="Times New Roman">
    <w:charset w:val="cc"/>
    <w:family w:val="roman"/>
    <w:pitch w:val="variable"/>
  </w:font>
  <w:font w:name="NTHelvetica/Cyrillic">
    <w:charset w:val="cc"/>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3"/>
      <w:ind w:right="360" w:hanging="0"/>
      <w:rPr/>
    </w:pPr>
    <w:r>
      <w:rPr/>
    </w:r>
    <w:r>
      <mc:AlternateContent>
        <mc:Choice Requires="wps">
          <w:drawing>
            <wp:anchor behindDoc="0" distT="0" distB="0" distL="0" distR="0" simplePos="0" locked="0" layoutInCell="0" allowOverlap="1" relativeHeight="9">
              <wp:simplePos x="0" y="0"/>
              <wp:positionH relativeFrom="margin">
                <wp:align>right</wp:align>
              </wp:positionH>
              <wp:positionV relativeFrom="paragraph">
                <wp:posOffset>635</wp:posOffset>
              </wp:positionV>
              <wp:extent cx="71120" cy="143510"/>
              <wp:effectExtent l="0" t="0" r="0" b="0"/>
              <wp:wrapSquare wrapText="largest"/>
              <wp:docPr id="2" name="Врезка2"/>
              <a:graphic xmlns:a="http://schemas.openxmlformats.org/drawingml/2006/main">
                <a:graphicData uri="http://schemas.microsoft.com/office/word/2010/wordprocessingShape">
                  <wps:wsp>
                    <wps:cNvSpPr txBox="1"/>
                    <wps:spPr>
                      <a:xfrm>
                        <a:off x="0" y="0"/>
                        <a:ext cx="71120" cy="143510"/>
                      </a:xfrm>
                      <a:prstGeom prst="rect"/>
                      <a:solidFill>
                        <a:srgbClr val="FFFFFF">
                          <a:alpha val="0"/>
                        </a:srgbClr>
                      </a:solidFill>
                    </wps:spPr>
                    <wps:txbx>
                      <w:txbxContent>
                        <w:p>
                          <w:pPr>
                            <w:pStyle w:val="13"/>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6pt;height:11.3pt;mso-wrap-distance-left:0pt;mso-wrap-distance-right:0pt;mso-wrap-distance-top:0pt;mso-wrap-distance-bottom:0pt;margin-top:0.05pt;mso-position-vertical-relative:text;margin-left:476.25pt;mso-position-horizontal:right;mso-position-horizontal-relative:margin">
              <v:fill opacity="0f"/>
              <v:textbox inset="0in,0in,0in,0in">
                <w:txbxContent>
                  <w:p>
                    <w:pPr>
                      <w:pStyle w:val="13"/>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rPr/>
    </w:pPr>
    <w: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71120" cy="14351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1120" cy="143510"/>
                      </a:xfrm>
                      <a:prstGeom prst="rect"/>
                      <a:solidFill>
                        <a:srgbClr val="FFFFFF">
                          <a:alpha val="0"/>
                        </a:srgbClr>
                      </a:solidFill>
                    </wps:spPr>
                    <wps:txbx>
                      <w:txbxContent>
                        <w:p>
                          <w:pPr>
                            <w:pStyle w:val="14"/>
                            <w:pBdr/>
                            <w:rPr>
                              <w:rStyle w:val="11"/>
                            </w:rPr>
                          </w:pPr>
                          <w:r>
                            <w:rPr>
                              <w:rStyle w:val="11"/>
                            </w:rPr>
                            <w:fldChar w:fldCharType="begin"/>
                          </w:r>
                          <w:r>
                            <w:rPr>
                              <w:rStyle w:val="11"/>
                            </w:rPr>
                            <w:instrText> PAGE </w:instrText>
                          </w:r>
                          <w:r>
                            <w:rPr>
                              <w:rStyle w:val="11"/>
                            </w:rPr>
                            <w:fldChar w:fldCharType="separate"/>
                          </w:r>
                          <w:r>
                            <w:rPr>
                              <w:rStyle w:val="11"/>
                            </w:rPr>
                            <w:t>5</w:t>
                          </w:r>
                          <w:r>
                            <w:rPr>
                              <w:rStyle w:val="11"/>
                            </w:rPr>
                            <w:fldChar w:fldCharType="end"/>
                          </w:r>
                        </w:p>
                      </w:txbxContent>
                    </wps:txbx>
                    <wps:bodyPr anchor="t" lIns="0" tIns="0" rIns="0" bIns="0">
                      <a:spAutoFit/>
                    </wps:bodyPr>
                  </wps:wsp>
                </a:graphicData>
              </a:graphic>
            </wp:anchor>
          </w:drawing>
        </mc:Choice>
        <mc:Fallback>
          <w:pict>
            <v:rect fillcolor="#FFFFFF" style="position:absolute;rotation:0;width:5.6pt;height:11.3pt;mso-wrap-distance-left:0pt;mso-wrap-distance-right:0pt;mso-wrap-distance-top:0pt;mso-wrap-distance-bottom:0pt;margin-top:0.05pt;mso-position-vertical-relative:text;margin-left:238.1pt;mso-position-horizontal:center;mso-position-horizontal-relative:margin">
              <v:fill opacity="0f"/>
              <v:textbox inset="0in,0in,0in,0in">
                <w:txbxContent>
                  <w:p>
                    <w:pPr>
                      <w:pStyle w:val="14"/>
                      <w:pBdr/>
                      <w:rPr>
                        <w:rStyle w:val="11"/>
                      </w:rPr>
                    </w:pPr>
                    <w:r>
                      <w:rPr>
                        <w:rStyle w:val="11"/>
                      </w:rPr>
                      <w:fldChar w:fldCharType="begin"/>
                    </w:r>
                    <w:r>
                      <w:rPr>
                        <w:rStyle w:val="11"/>
                      </w:rPr>
                      <w:instrText> PAGE </w:instrText>
                    </w:r>
                    <w:r>
                      <w:rPr>
                        <w:rStyle w:val="11"/>
                      </w:rPr>
                      <w:fldChar w:fldCharType="separate"/>
                    </w:r>
                    <w:r>
                      <w:rPr>
                        <w:rStyle w:val="11"/>
                      </w:rPr>
                      <w:t>5</w:t>
                    </w:r>
                    <w:r>
                      <w:rPr>
                        <w:rStyle w:val="11"/>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5"/>
        </w:tabs>
        <w:ind w:left="435" w:hanging="435"/>
      </w:pPr>
    </w:lvl>
    <w:lvl w:ilvl="1">
      <w:start w:val="1"/>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
    <w:lvl w:ilvl="0">
      <w:start w:val="11"/>
      <w:numFmt w:val="bullet"/>
      <w:lvlText w:val=""/>
      <w:lvlJc w:val="left"/>
      <w:pPr>
        <w:tabs>
          <w:tab w:val="num" w:pos="927"/>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decimal"/>
      <w:lvlText w:val="%1."/>
      <w:lvlJc w:val="left"/>
      <w:pPr>
        <w:tabs>
          <w:tab w:val="num" w:pos="368"/>
        </w:tabs>
        <w:ind w:left="368" w:hanging="36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lvl w:ilvl="0">
      <w:start w:val="4"/>
      <w:numFmt w:val="decimal"/>
      <w:lvlText w:val="%1."/>
      <w:lvlJc w:val="left"/>
      <w:pPr>
        <w:tabs>
          <w:tab w:val="num" w:pos="368"/>
        </w:tabs>
        <w:ind w:left="368" w:hanging="36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aramond" w:hAnsi="Garamond"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Garamond" w:hAnsi="Garamond"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Pagenumber">
    <w:name w:val="page number"/>
    <w:basedOn w:val="DefaultParagraphFont"/>
    <w:qFormat/>
    <w:rPr/>
  </w:style>
  <w:style w:type="character" w:styleId="11" w:customStyle="1">
    <w:name w:val="Номер страницы1"/>
    <w:basedOn w:val="1"/>
    <w:qFormat/>
    <w:rPr/>
  </w:style>
  <w:style w:type="character" w:styleId="Style14">
    <w:name w:val="Символ концевой сноск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12" w:customStyle="1">
    <w:name w:val="Обычный1"/>
    <w:qFormat/>
    <w:pPr>
      <w:widowControl/>
      <w:bidi w:val="0"/>
      <w:spacing w:before="0" w:after="0"/>
      <w:jc w:val="left"/>
    </w:pPr>
    <w:rPr>
      <w:rFonts w:ascii="MS Sans Serif" w:hAnsi="MS Sans Serif" w:eastAsia="Times New Roman" w:cs="Times New Roman"/>
      <w:color w:val="auto"/>
      <w:kern w:val="0"/>
      <w:sz w:val="20"/>
      <w:szCs w:val="20"/>
      <w:lang w:val="ru-RU" w:eastAsia="ru-RU" w:bidi="ar-SA"/>
    </w:rPr>
  </w:style>
  <w:style w:type="paragraph" w:styleId="111" w:customStyle="1">
    <w:name w:val="Заголовок 11"/>
    <w:basedOn w:val="12"/>
    <w:next w:val="12"/>
    <w:qFormat/>
    <w:pPr>
      <w:keepNext w:val="true"/>
      <w:jc w:val="center"/>
    </w:pPr>
    <w:rPr>
      <w:rFonts w:ascii="Times New Roman" w:hAnsi="Times New Roman"/>
      <w:b/>
      <w:sz w:val="24"/>
    </w:rPr>
  </w:style>
  <w:style w:type="paragraph" w:styleId="2" w:customStyle="1">
    <w:name w:val="Обычный2"/>
    <w:qFormat/>
    <w:pPr>
      <w:widowControl/>
      <w:tabs>
        <w:tab w:val="clear" w:pos="720"/>
        <w:tab w:val="left" w:pos="567" w:leader="none"/>
        <w:tab w:val="left" w:pos="709" w:leader="none"/>
        <w:tab w:val="left" w:pos="851" w:leader="none"/>
        <w:tab w:val="left" w:pos="993" w:leader="none"/>
        <w:tab w:val="left" w:pos="1134" w:leader="none"/>
      </w:tabs>
      <w:bidi w:val="0"/>
      <w:spacing w:before="0" w:after="0"/>
      <w:ind w:firstLine="397"/>
      <w:jc w:val="both"/>
    </w:pPr>
    <w:rPr>
      <w:rFonts w:ascii="NTHelvetica/Cyrillic" w:hAnsi="NTHelvetica/Cyrillic" w:eastAsia="Times New Roman" w:cs="Times New Roman"/>
      <w:color w:val="auto"/>
      <w:kern w:val="0"/>
      <w:sz w:val="22"/>
      <w:szCs w:val="20"/>
      <w:lang w:val="ru-RU" w:eastAsia="ru-RU" w:bidi="ar-SA"/>
    </w:rPr>
  </w:style>
  <w:style w:type="paragraph" w:styleId="13" w:customStyle="1">
    <w:name w:val="Нижний колонтитул1"/>
    <w:basedOn w:val="12"/>
    <w:qFormat/>
    <w:pPr>
      <w:tabs>
        <w:tab w:val="clear" w:pos="720"/>
        <w:tab w:val="center" w:pos="4153" w:leader="none"/>
        <w:tab w:val="right" w:pos="8306" w:leader="none"/>
      </w:tabs>
    </w:pPr>
    <w:rPr/>
  </w:style>
  <w:style w:type="paragraph" w:styleId="14" w:customStyle="1">
    <w:name w:val="Верхний колонтитул1"/>
    <w:basedOn w:val="12"/>
    <w:qFormat/>
    <w:pPr>
      <w:tabs>
        <w:tab w:val="clear" w:pos="720"/>
        <w:tab w:val="center" w:pos="4153" w:leader="none"/>
        <w:tab w:val="right" w:pos="8306" w:leader="none"/>
      </w:tabs>
    </w:pPr>
    <w:rPr/>
  </w:style>
  <w:style w:type="paragraph" w:styleId="21" w:customStyle="1">
    <w:name w:val="Основной текст 21"/>
    <w:basedOn w:val="12"/>
    <w:qFormat/>
    <w:pPr>
      <w:ind w:firstLine="567"/>
      <w:jc w:val="both"/>
    </w:pPr>
    <w:rPr>
      <w:rFonts w:ascii="Times New Roman" w:hAnsi="Times New Roman"/>
      <w:sz w:val="24"/>
    </w:rPr>
  </w:style>
  <w:style w:type="paragraph" w:styleId="Style20">
    <w:name w:val="Верхний и нижний колонтитулы"/>
    <w:basedOn w:val="Normal"/>
    <w:qFormat/>
    <w:pPr/>
    <w:rPr/>
  </w:style>
  <w:style w:type="paragraph" w:styleId="Style21">
    <w:name w:val="Header"/>
    <w:basedOn w:val="Style20"/>
    <w:pPr/>
    <w:rPr/>
  </w:style>
  <w:style w:type="paragraph" w:styleId="Style22">
    <w:name w:val="Содержимое врезки"/>
    <w:basedOn w:val="Normal"/>
    <w:qFormat/>
    <w:pPr/>
    <w:rPr/>
  </w:style>
  <w:style w:type="paragraph" w:styleId="Style23">
    <w:name w:val="Footer"/>
    <w:basedOn w:val="Style2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LibreOffice/7.1.0.3$Windows_X86_64 LibreOffice_project/f6099ecf3d29644b5008cc8f48f42f4a40986e4c</Application>
  <AppVersion>15.0000</AppVersion>
  <Pages>5</Pages>
  <Words>1905</Words>
  <Characters>13793</Characters>
  <CharactersWithSpaces>15609</CharactersWithSpaces>
  <Paragraphs>96</Paragraphs>
  <Company>fiet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2021-05-29T07:46:00Z</dcterms:created>
  <dc:creator>Храмов</dc:creator>
  <dc:description/>
  <dc:language>ru-RU</dc:language>
  <cp:lastModifiedBy>Пользователь Windows</cp:lastModifiedBy>
  <cp:lastPrinted>2000-10-23T09:30:00Z</cp:lastPrinted>
  <dcterms:modified xsi:type="dcterms:W3CDTF">2021-05-29T18:55:00Z</dcterms:modified>
  <cp:revision>5</cp:revision>
  <dc:subject/>
  <dc:title>Утверждено</dc:title>
</cp:coreProperties>
</file>

<file path=docProps/custom.xml><?xml version="1.0" encoding="utf-8"?>
<Properties xmlns="http://schemas.openxmlformats.org/officeDocument/2006/custom-properties" xmlns:vt="http://schemas.openxmlformats.org/officeDocument/2006/docPropsVTypes"/>
</file>